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64244452500d4e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Heathmont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8 2025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Education Perfect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Education Perfect is an essential online resource used across Maths, English, Science &amp; Humanities.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Education Perfect Essentials Subscription - Year 8 (Fee only)  - Please contact the school for purchasing options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PE/Health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Accessing All eBooks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Access to all eBooks (including textbooks) will be via Educational Ebooks. Students DO NOT activate eBook codes from inside textbooks - we do this for you. Log in details will be provided to your student before the start of Term 1.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TALES FROM THE INNER CITY (H/B)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$35.00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GIVER (ESSENTIAL MODERN CLASSICS)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$17.99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Food Technology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 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German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Please select one option only or retain from previous year: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GANZ KLASSE! 1 GERMAN STUDENT + EBOOK + WORKBOOK PACK (Textbook + eBook + Workbook)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If you have purchased the student book second hand, you MUST purchase a NEW workbook: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GANZ KLASSE! 1 GERMAN WORKBOOK 1 + 1 EBOOK ACCESS CODE FOR 26 MONTHS (Workbook)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Both of the following exercise books are required materials: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EXERCISE BOOK 225 x 175MM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Indonesian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STUDY INDONESIAN DICTIONARY 2E (Retain Indonesian dictionary from previous year, only new students to purchase)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$35.95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Please select one option only: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SALING SILANG 2 STUDENT BOOK + ACTIVITY BOOK + EBOOK READER+ COMBO PACK (Textbook + eBook + Workbook)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$62.95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 
If you have purchased the textbook secondhand, you are required to purchase a NEW Activity Book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SALING SILANG 2 ACTIVITY BOOK (As this is a workbook it must be purchased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BOTH of the following exercise books are required materials: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EXERCISE BOOK 225 x 175MM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have the option to choose between the Textbook (which includes the eBook) or the eBook only: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MATHS QUEST 8 VICTORIAN CURRICULUM PRINT &amp; LEARNON 3E  (Textbook + eBook)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$75.00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MATHS QUEST 8 VICTORIAN CURRICULUM LEARNON EBOOK 3E (eBook Only)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 EL531THBWH SCIENTIFIC CALCULATOR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2 128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2 128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STEAM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SAFETY GLASSES CLEAR TRADITIONAL WRAP AROUND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The Arts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This contains stationery requirements for Art &amp; Design and Performing Arts: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MUSIC MANUSCRIPT BOOK 12 STAVE 32 PAGE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EXERCISE BOOK 18MM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 subscription fee of $50 for Sound Trap an online music program is also included in the class contributions fees for Performing Arts.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6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20 CONNECTOR PENS FABER CASTELL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BLACK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RED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LITTLE SHARPENER SINGLE HOLE WITH CATCHER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40 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LARGE 165MM QSV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PADLOCK COMBINATION MASTERLOCK 1525 DIAL BLACK 48MM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$21.25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Heathmont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8 2025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0bcd05df136e4b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64244452500d4e13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0bcd05df136e4b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